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3C" w:rsidRDefault="00166F3C" w:rsidP="00166F3C">
      <w:r>
        <w:t>Крепостное право в России: причины и время возникновения. Основные этапы его юридического оформления.</w:t>
      </w:r>
    </w:p>
    <w:p w:rsidR="00166F3C" w:rsidRDefault="00166F3C" w:rsidP="00166F3C"/>
    <w:p w:rsidR="00166F3C" w:rsidRDefault="00166F3C" w:rsidP="00166F3C">
      <w:r>
        <w:t>Крепостное право – наиболее жесткая форма феодальной зависимости, включающая право землевладельцев на распоряжение личностью крестьянина.</w:t>
      </w:r>
    </w:p>
    <w:p w:rsidR="00166F3C" w:rsidRDefault="00166F3C" w:rsidP="00166F3C"/>
    <w:p w:rsidR="00166F3C" w:rsidRDefault="00166F3C" w:rsidP="00166F3C">
      <w:r>
        <w:t>Причины закрепощения:</w:t>
      </w:r>
    </w:p>
    <w:p w:rsidR="00166F3C" w:rsidRDefault="00166F3C" w:rsidP="00166F3C"/>
    <w:p w:rsidR="00166F3C" w:rsidRDefault="00166F3C" w:rsidP="00166F3C">
      <w:r>
        <w:t>XIX в.: Соловьев: закрепощение в связи с государственными потребностями.</w:t>
      </w:r>
    </w:p>
    <w:p w:rsidR="00166F3C" w:rsidRDefault="00166F3C" w:rsidP="00166F3C">
      <w:r>
        <w:t>Советская историография: Борис Греков. Развитие товарно-денежных отношений – распространение барщины – крестьяне сопротивлялись этому, государство прикрепляет их.</w:t>
      </w:r>
    </w:p>
    <w:p w:rsidR="00166F3C" w:rsidRDefault="00166F3C" w:rsidP="00166F3C">
      <w:r>
        <w:t>Лев Черепнин: в XVI–XVII вв. – сохраняется преимущественно натуральное хозяйство.</w:t>
      </w:r>
    </w:p>
    <w:p w:rsidR="00166F3C" w:rsidRDefault="00166F3C" w:rsidP="00166F3C">
      <w:r>
        <w:t>Концепция XIX в.: основной фактор – интересы мелких служилых людей (без закрепощения они не могли удержать крестьян).</w:t>
      </w:r>
    </w:p>
    <w:p w:rsidR="00166F3C" w:rsidRDefault="00166F3C" w:rsidP="00166F3C">
      <w:r>
        <w:t>Основные этапы оформления:</w:t>
      </w:r>
    </w:p>
    <w:p w:rsidR="00166F3C" w:rsidRDefault="00166F3C" w:rsidP="00166F3C"/>
    <w:p w:rsidR="00166F3C" w:rsidRDefault="00166F3C" w:rsidP="00166F3C">
      <w:r>
        <w:t>в конце XV в. – первые шаги в государственном оформлении</w:t>
      </w:r>
    </w:p>
    <w:p w:rsidR="00166F3C" w:rsidRDefault="00166F3C" w:rsidP="00166F3C">
      <w:r>
        <w:t>в конце XVI в. – решающий шаг, но как временная мера</w:t>
      </w:r>
    </w:p>
    <w:p w:rsidR="00166F3C" w:rsidRDefault="00166F3C" w:rsidP="00166F3C">
      <w:r>
        <w:t>Соборное уложение 1649 г. – окончательное оформление</w:t>
      </w:r>
    </w:p>
    <w:p w:rsidR="00166F3C" w:rsidRDefault="00166F3C" w:rsidP="00166F3C">
      <w:r>
        <w:t>Киевская Русь – свобода перемещения основных групп населения, включая феодалов и крестьян.</w:t>
      </w:r>
    </w:p>
    <w:p w:rsidR="00166F3C" w:rsidRDefault="00166F3C" w:rsidP="00166F3C"/>
    <w:p w:rsidR="00166F3C" w:rsidRDefault="00166F3C" w:rsidP="00166F3C">
      <w:r>
        <w:t>С XIV в. – попытки феодалов ограничивать свободное перемещение крестьян.</w:t>
      </w:r>
    </w:p>
    <w:p w:rsidR="00166F3C" w:rsidRDefault="00166F3C" w:rsidP="00166F3C"/>
    <w:p w:rsidR="00166F3C" w:rsidRDefault="00166F3C" w:rsidP="00166F3C">
      <w:r>
        <w:t>В XV в. – княжеские грамоты, запрещавшие уход крестьян от своих владельцев. Судебник 1497 г.: переход раз в году 1 неделя до и после Юрьева дня.</w:t>
      </w:r>
    </w:p>
    <w:p w:rsidR="00166F3C" w:rsidRDefault="00166F3C" w:rsidP="00166F3C"/>
    <w:p w:rsidR="00166F3C" w:rsidRDefault="00166F3C" w:rsidP="00166F3C">
      <w:r>
        <w:t>В конце XVI в. массовое бегство крестьян на юго-восток.</w:t>
      </w:r>
    </w:p>
    <w:p w:rsidR="00166F3C" w:rsidRDefault="00166F3C" w:rsidP="00166F3C"/>
    <w:p w:rsidR="00166F3C" w:rsidRDefault="00166F3C" w:rsidP="00166F3C">
      <w:r>
        <w:t>С начала 80-х гг. – ряд указов о "заповедных летах", в течение которых запрещался переход. В 90–е гг. – пятилетний срок розыска и возврата беглых и вывезенных крестьян – "урочные лета".</w:t>
      </w:r>
    </w:p>
    <w:p w:rsidR="00166F3C" w:rsidRDefault="00166F3C" w:rsidP="00166F3C"/>
    <w:p w:rsidR="00166F3C" w:rsidRDefault="00166F3C" w:rsidP="00166F3C">
      <w:r>
        <w:lastRenderedPageBreak/>
        <w:t>Соборное уложение 1649 г. Переходы были запрещены.</w:t>
      </w:r>
    </w:p>
    <w:p w:rsidR="00166F3C" w:rsidRDefault="00166F3C" w:rsidP="00166F3C"/>
    <w:p w:rsidR="003339BD" w:rsidRDefault="00166F3C" w:rsidP="00166F3C">
      <w:r>
        <w:t>В закрепощении крестьян выразилось отставание России от Западной Европы, позволило решить острые неотложные задачи государства, но затем стало тормозом развития.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F3C"/>
    <w:rsid w:val="00166F3C"/>
    <w:rsid w:val="003339BD"/>
    <w:rsid w:val="00534000"/>
    <w:rsid w:val="0099730B"/>
    <w:rsid w:val="00A50E96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2011-10-20T05:59:00Z</dcterms:created>
  <dcterms:modified xsi:type="dcterms:W3CDTF">2011-10-20T05:59:00Z</dcterms:modified>
</cp:coreProperties>
</file>