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D6" w:rsidRDefault="005D3CD6" w:rsidP="005D3CD6">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Образование древнерусского государства.</w:t>
      </w:r>
    </w:p>
    <w:p w:rsidR="005D3CD6" w:rsidRDefault="005D3CD6" w:rsidP="005D3CD6">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Складывание феодальных отношений и их особенности.</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Длительный и сложный процесс развития славянского общества завершился во второй половине IX в. образованием древнерусского государства со столицей в г. Киеве (отсюда происходит его название – Киевская Русь).</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Причины образования государства: 1) возникновение частной собственности на продукты и орудия труда, рабочий скот, жилища, оружие, рабов; 2) распад родовой и распространение соседской (территориальной) общины; 3) разделение общества на богатых и бедных; закрепление власти в руках родовой знати (старейшин и вождей); 4) развитие мировой торговли и образование транзитного торгового пути «из варяг в греки»; 5) опасность грабительских нападений со стороны соседних народов.</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Первые формы государственности представляли собой союзы нескольких племен, которые со временем превратились в суперсоюзы. Ученью имеют сведения о существовании накануне образования Киевской Руси трех крупных племенных объединений: Куябы, или Южной Руси (земли вокруг Киева), Славии, или Северной Руси (земли вокруг озера Ильмень) и Артании (точное местоположение не установлено; вероятно, земли вокруг Смоленска и Полоцка).</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История создания Киевской Руси сложна и запутанна. Ее начало принято связывать с легендой русской летописи «О призвании варягов». В 862 г. новгородцы, чтобы прекратить вражду между собой, пригласили для правления трех братьев, трех варяжских (норманских) князей с дружинами: Рюрика в Новгород, Синеуса на Белоозеро, Трувора в Изборск. Через год или два братья Рюрика умерли и он стал единственным правителем древней Руси и основателем княжеской династии.</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Легенда о призвании варяжских князей стала основанием для создания в XVIII в. норманской теории происхождения государства у славян. Ее авторами были приглашенные в Россию немецкие ученые Г. Байер, Г. Миллер, А. Шлецер. Они указывали на отсутствие условий образования государства славянами, подчеркивали низкий уровень их культуры. Норманская теория встретила сопротивление со стороны части русских ученых (М. В. Ломоносов), которые считали, что определяющим для создания государства являются внутренние причины, которыми обладало славянское общество.</w:t>
      </w:r>
    </w:p>
    <w:p w:rsidR="005D3CD6" w:rsidRDefault="005D3CD6" w:rsidP="005D3CD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Датой образования древнерусского государства принято считать 882 г. В этом году князь Олег, захватив власть в Новгороде, совершил военный поход на Киев. Здесь обманом ему удалось убить князей Аскольда и Дира и объединить под своей властью все северные и южные земли славян.</w:t>
      </w:r>
    </w:p>
    <w:p w:rsidR="003339BD" w:rsidRDefault="005D3CD6" w:rsidP="005D3CD6">
      <w:r>
        <w:rPr>
          <w:rFonts w:ascii="Times New Roman" w:hAnsi="Times New Roman" w:cs="Times New Roman"/>
          <w:color w:val="000000"/>
          <w:sz w:val="28"/>
          <w:szCs w:val="28"/>
        </w:rPr>
        <w:t xml:space="preserve">Большинство историков считает, что в Киевской Руси было раннефеодальное государство, сочетающее в себе элементы феодализма и пережитки первобытнообщинного строя. Проблема зарождения феодализма остается в </w:t>
      </w:r>
      <w:r>
        <w:rPr>
          <w:rFonts w:ascii="Times New Roman" w:hAnsi="Times New Roman" w:cs="Times New Roman"/>
          <w:color w:val="000000"/>
          <w:sz w:val="28"/>
          <w:szCs w:val="28"/>
        </w:rPr>
        <w:lastRenderedPageBreak/>
        <w:t>исторической науке спорной. Складывание феодальных отношений в древней Руси происходило постепенно и имело свои особенности: I) киевский князь не являлся собственником земли, а был только правителем; 2) присоединенные земли рассматривались как собственность государства, право на сбор дани могли получать дружинники князя; 3) господствующим видом эксплуатации был не труд зависимых крестьян, а взимание дани, которая лишь со временем переросла в феодальную ренту (плату за пользование землей); 4) большинство земледельцев оставались свободными людьми; группы зависимого от феодалов населения были незначительными; 5) класс феодалов формировался не только из числа дружинников, но и путем расслоения соседской общины, из которой выделялись крестьяне-землевладельцы, превращавшиеся затем в феодалов, и безземельные люди, труд которых присваивался землевладельцами.</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D3CD6"/>
    <w:rsid w:val="003339BD"/>
    <w:rsid w:val="00534000"/>
    <w:rsid w:val="005D3CD6"/>
    <w:rsid w:val="0099730B"/>
    <w:rsid w:val="00B25EF2"/>
    <w:rsid w:val="00BC27AF"/>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D3CD6"/>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2011-10-20T09:28:00Z</dcterms:created>
  <dcterms:modified xsi:type="dcterms:W3CDTF">2011-10-20T09:28:00Z</dcterms:modified>
</cp:coreProperties>
</file>