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1A" w:rsidRDefault="0074281A" w:rsidP="0074281A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Елена Глинская</w:t>
      </w:r>
    </w:p>
    <w:p w:rsidR="0074281A" w:rsidRDefault="0074281A" w:rsidP="0074281A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1508–1538, даты правления 1533–1538)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Честолюбива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полна замыслов, отличалась твердостью и благоразумием. Не пользовалась симпатиями ни у бояр, ни у народа как женщина не московских, а, скорее, европейских нравов и воспитания.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Внутренняя политика: </w:t>
      </w:r>
      <w:r>
        <w:rPr>
          <w:rFonts w:ascii="Times New Roman" w:hAnsi="Times New Roman" w:cs="Times New Roman"/>
          <w:sz w:val="28"/>
          <w:szCs w:val="28"/>
        </w:rPr>
        <w:t>монетная реформа 1535 г., по всей России стали печатать деньги с изображением всадника с копьем («копейки»).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унификация денежного обращения в стране, преодоление последствий раздробленности, путь к стабилизации экономики Руси.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местного самоуправления.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ограничение судебных привилегий крупной аристократии.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Градостроительство: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Строительство городов на литовских границах, восстановление Устюга и Ярославля, в Москве в 1535 г. строителем Петром Малым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Фрязиным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заложен Китай-город.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Въезд в Московию эмигрантов из других стран; из Литвы выехало 300 семей.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1536 году с польским королем Сигизмундом I заключен выгодный для России мир.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Интриги в области международной дипломатии, соперничество с казанским и крымским ханами,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 чувствовавшими себя господами на Русской земле.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1537 г. договор со Швецией о свободной торговле и благожелательном нейтралитете.</w:t>
      </w:r>
    </w:p>
    <w:p w:rsidR="0074281A" w:rsidRDefault="0074281A" w:rsidP="0074281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укрепление международного положения страны.</w:t>
      </w:r>
    </w:p>
    <w:p w:rsidR="009907F6" w:rsidRDefault="0074281A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81A"/>
    <w:rsid w:val="00655615"/>
    <w:rsid w:val="0074281A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42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2013-10-30T09:17:00Z</dcterms:created>
  <dcterms:modified xsi:type="dcterms:W3CDTF">2013-10-30T09:18:00Z</dcterms:modified>
</cp:coreProperties>
</file>