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C7" w:rsidRPr="000148C7" w:rsidRDefault="000148C7" w:rsidP="000148C7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0148C7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>Царская власть</w:t>
      </w:r>
      <w:proofErr w:type="gramStart"/>
      <w:r w:rsidRPr="000148C7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 </w:t>
      </w:r>
      <w:r w:rsidRPr="000148C7">
        <w:rPr>
          <w:rFonts w:ascii="Arial" w:eastAsia="Times New Roman" w:hAnsi="Arial" w:cs="Arial"/>
          <w:color w:val="000000"/>
          <w:lang w:eastAsia="ru-RU"/>
        </w:rPr>
        <w:t>К</w:t>
      </w:r>
      <w:proofErr w:type="gramEnd"/>
      <w:r w:rsidRPr="000148C7">
        <w:rPr>
          <w:rFonts w:ascii="Arial" w:eastAsia="Times New Roman" w:hAnsi="Arial" w:cs="Arial"/>
          <w:color w:val="000000"/>
          <w:lang w:eastAsia="ru-RU"/>
        </w:rPr>
        <w:t>ак правило, неограниченная власть монарха, носящего титул «царя».</w:t>
      </w:r>
    </w:p>
    <w:p w:rsidR="000148C7" w:rsidRPr="000148C7" w:rsidRDefault="000148C7" w:rsidP="000148C7">
      <w:pPr>
        <w:pStyle w:val="2"/>
        <w:rPr>
          <w:b w:val="0"/>
        </w:rPr>
      </w:pPr>
      <w:r w:rsidRPr="000148C7">
        <w:rPr>
          <w:b w:val="0"/>
        </w:rPr>
        <w:t xml:space="preserve">Церковь Покрова в Филях </w:t>
      </w:r>
      <w:r w:rsidRPr="000148C7">
        <w:rPr>
          <w:b w:val="0"/>
          <w:color w:val="000000"/>
          <w:sz w:val="22"/>
          <w:szCs w:val="22"/>
        </w:rPr>
        <w:t>Построена в 1690–1693 гг. на средства владельца села боярина Л. К. Нарышкина, брата царицы Натальи Кирилловны. Предшествующий деревянный храм был сооружён в 1619 г., когда село принадлежало Милославским. Москва.</w:t>
      </w:r>
    </w:p>
    <w:p w:rsidR="009907F6" w:rsidRPr="000148C7" w:rsidRDefault="000148C7"/>
    <w:sectPr w:rsidR="009907F6" w:rsidRPr="000148C7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148C7"/>
    <w:rsid w:val="000148C7"/>
    <w:rsid w:val="002C1F7B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0148C7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8C7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01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2014-03-05T07:45:00Z</dcterms:created>
  <dcterms:modified xsi:type="dcterms:W3CDTF">2014-03-05T07:45:00Z</dcterms:modified>
</cp:coreProperties>
</file>