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Гази-Мухаммед (Кази-Мулла)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(1795–1832)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Первый имам Дагестана и Чечни (с 1828 г.). Одержал ряд побед над русскими войсками. Погиб в бою.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>Гегель (</w:t>
      </w:r>
      <w:proofErr w:type="spellStart"/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>Hegel</w:t>
      </w:r>
      <w:proofErr w:type="spellEnd"/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) Георг Вильгельм Фридрих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(1780-1831)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Великий немецкий философ-идеалист, оказавший исключительное влияние на развитие западноевропейской философии и русской общественной мысли в 40-60-х г. прошлого века (Белинский, Герцен, Чернышевский, Бакунин). В противоположность метафизическому образу мышления, господствовавшему в научной мысли в XVIII столетии и рассматривавшему объективный мир и его отражение в человеческой психике как систему неизменных и замкнутых в себе элементов, Гегель выдвинул диалектический метод, который, наоборот, требует изучения окружающей природы и человеческой истории в их движении и взаимной связи. С точки зрения Гегеля, нет ничего неизменного и постоянного. Наоборот, все течет, все изменяется, все находится в беспрерывном движении, но это движение совершается не эволюционно, а диалектически, т.е. путем противоречий. По Гегелю абсолютное понятие или абсолютный дух есть основа всего существующего. Развитие этого абсолютного духа по имманентным законам и составляет </w:t>
      </w:r>
      <w:proofErr w:type="spellStart"/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диалекти-ческий</w:t>
      </w:r>
      <w:proofErr w:type="spellEnd"/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Герцен Александр Иванович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(1812–1870)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Революционер, писатель, публицист. Внебрачный сын помещика И.А. Яковлева, носил вымышленную фамилию (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нем. 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Hertz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– сердце). В 1826 г. вместе с Н.П. Огаревым дал на Воробьевых горах в Москве клятву отомстить за казненных декабристов. С 1829 г. – студент Московского университета, создатель кружка вольнодумной молодежи. С 1831 г. перешел на позиции утопического социализма (</w:t>
      </w:r>
      <w:proofErr w:type="spellStart"/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сен-симонизма</w:t>
      </w:r>
      <w:proofErr w:type="spellEnd"/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). В 1834 г. арестован, в 1835–1839 гг. в ссылке в Перми, Вятке и Владимире. В 1840 г. в Петербурге. Сблизился с членами кружка Н.В. Станкевича, сотрудничал в журнале «Отечественные записки». Летом 1841 г. сослан в Новгород. С 1842 г. в отставке, жил в Москве, сблизился с московскими западниками, участвовал в полемике со славянофилами. В 1847 г. выехал за границу. Под влиянием революции 1848 г. во Франции 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пришел к выводу о необходимости для России прийти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к социализму, минуя капитализм, опираясь на крестьянскую общину. Позднее созданная Герценом теория «крестьянского социализма» легла в основу народничества. С 1852 г. поселился в Лондоне, организовал «Вольную русскую типографию». В 1855–1868 гг. издавал альманах «Полярная звезда», в 1857–1865 гг. – газету «Колокол». Поддержал польское восстание 1863 г., что привело к падению его влияния на русское общество. В марте 1865 г. переехал в Женеву, где продолжил издание «Колокола» до 1867 г.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Глинка Михаил Иванович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(1804 — 1857)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Композитор. В 1818–1822 гг. Глинка воспитывался в Благородном пансионе при Главном педагогическом институте в Петербурге. В 20-х гг. XIX 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Глинка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приобрел известность в музыкальных кругах как пианист и певец. Общение с А. С. Пушкиным, В. А. Жуковским оказало влияние на выработку творческих принципов композитора.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br/>
        <w:t>Глинка – основоположник русской классической музыки и прежде всего оперы. Его оперы «Жизнь за царя» (1836 г.) и «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Руслан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и Людмила» (1842 г.) положили начало двум новым жанрам русского оперного искусства – народной музыкальной драме и опере-сказке.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Глинка заложил основы русской симфонической музыки, был первым классиком русского романса. Глинка способствовал развитию русской хоровой культуры (в 1837–1839 гг. он был капельмейстером Придворной певческой капеллы). 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Гоголь Николай Васильевич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(1809 — 1852)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Писатель. Родился и вырос на Украине, в дворянской семье, впоследствии переехал в Петербург. Известность получил в 1831 г. после выхода сборника повестей из украинской жизни «Вечера на хуторе близ Диканьки». С 1835 г. оставляет государственную службу и сосредотачивается на литературной деятельности. Автор комедии «Ревизор» (1835), поэмы-романа «Мертвые души» (I том – 1842), в которых сатирически отразил современную ему российскую действительность. В конце 1840-х гг. пережил серьезный внутренний кризис, результатом которого стало усиление влияния христианских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ценностей на его мировоззрение и творчество. Эти взгляды нашли отражение в «Выбранных местах из переписки с друзьями» (1847). Умер в Москве.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Голицын Александр Николаевич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(1773 — 1844)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Князь, государственный деятель. Из обедневшей ветви рода Голицыных. В Пажеском корпусе подружился с великим князем Александром (будущим Александром I). В 1803–1817 гг. обер-прокурор Синода. В молодости отличался религиозным скептицизмом, к 1810-м гг. впал в мистицизм. С 1810 г. – член государственного совета, с 1812 г. – сенатор. С 1813 г. – президент Библейского общества. С 1816 г. – и. о. министра народного просвещения. С 1817 г. – министр духовных дел и народного просвещения. Проводил политику преследования вольнодумства, стремился подчинить науку религии. При А. Н. Голицыне проведен разгром Казанского и Петербургского университетов. В то же время был сторонником уравнения православия с другими христианскими 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конфессиями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. Уволен с постов министра и президента Библейского общества в 1824 г. вследствие оппозиции его политике со стороны духовенства, а также ряда высших сановников во главе с А. А. Аракчеевым.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Головкин Гавриил Иванович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(1660–1734)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Канцлер. С конца XVII 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. состоял 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службе при Петре I и пользовался большим доверием царя. В 1717 г. назначен президентом Коллегии иностранных дел. При Екатерине I входил в состав Верховного тайного совета, однако взгляды «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верховников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» (в частности, князей Долгоруких) не разделял. При Анне Иоанновне стал членом Сената.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Гончаров Иван Александрович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(1812–1891)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Писатель, член-корреспондент Петербургской АН (1860). Родился в Симбирске в купеческой семье. В 1852 г. будучи секретарем адмирала Е. В. Путятина совершил кругосветное путешествие, о котором создал цикл путевых очерков «Фрегат «Паллада» (1858). По возвращении из путешествия (1852) поступил на службу в Петербургский цензурный комитет, преподавал литературу наследнику престола. Крупным событием стал выход в 1859 г. романа «Обломов», термин «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обломовщина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» стал нарицательным. Последний роман Гончарова – «Обрыв» – вышел в 1868 г.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Горбачевский Иван Иванович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(1800–1869)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Декабрист. Подпоручик. Член Общества соединенных славян. 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Осужден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по I разряду, приговорен к 20-летней каторге. В дальнейшем срок сокращен до 13 лет. Отбывал каторгу в Читинском остроге и Петровском заводе. В 1939 г. переведен на поселение в Петровском заводе. В 1863 г. получил разрешение жить в Петербурге, добровольно остался в Сибири. В 1865 г. мировой посредник Петровского горного округа. Умер в Петровском заводе. Мемуарист.</w:t>
      </w:r>
    </w:p>
    <w:p w:rsidR="007A7093" w:rsidRPr="007A7093" w:rsidRDefault="007A7093" w:rsidP="007A7093">
      <w:pPr>
        <w:pStyle w:val="2"/>
        <w:rPr>
          <w:rFonts w:ascii="Times New Roman" w:hAnsi="Times New Roman" w:cs="Times New Roman"/>
          <w:b w:val="0"/>
        </w:rPr>
      </w:pPr>
      <w:r w:rsidRPr="007A7093">
        <w:rPr>
          <w:rFonts w:ascii="Times New Roman" w:hAnsi="Times New Roman" w:cs="Times New Roman"/>
        </w:rPr>
        <w:t xml:space="preserve">Горчаков Александр Михайлович (1798–1883) </w:t>
      </w:r>
      <w:r w:rsidRPr="007A7093">
        <w:rPr>
          <w:rFonts w:ascii="Times New Roman" w:hAnsi="Times New Roman" w:cs="Times New Roman"/>
          <w:b w:val="0"/>
          <w:color w:val="000000"/>
          <w:sz w:val="22"/>
          <w:szCs w:val="22"/>
        </w:rPr>
        <w:t>Российский дипломат и государственный деятель, канцлер, светлейший князь, кавалер ордена Святого апостола Андрея Первозванного.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Горчаков Андрей Иванович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(1779–1855)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Князь, русский полководец; генерал от инфантерии (1819). Участвовал добровольцем в Итальянском и Швейцарском походах Суворова. Проявил храбрость в сражении при 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Треббии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, за что получил орден Святой Анны 1-й степени с алмазами, и при Нови. Отличился при 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Шевардине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: защищал 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Шевардинский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редут с одиннадцатитысячным отрядом против тридцати пяти тысяч французов. Полки Горчакова отражали натиск противника вплоть до наступления полной темноты, когда по приказу Кутузова отошли к расположению главных сил. Горчаков был тяжело ранен при Бородине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лечения в 1813 году вернулся в армию. В 1817 был назначен членом Государственного Совета, 1 января 1819 пожалован в генералы от инфантерии. Оставался на службе до 1847 г., затем вышел в отставку.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lastRenderedPageBreak/>
        <w:t xml:space="preserve">Горчаков Михаил Дмитриевич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(1793 — 1861)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Князь, военачальник, генерал от артиллерии (с 1844 г.). </w:t>
      </w:r>
      <w:proofErr w:type="gram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Участник Русско-персидской войны 1804 – 1813 гг., Отечественной войны 1812 г., заграничных походов 1813 – 1814 гг., Русско-турецкой войны 1818 – 1829 гг. Принимал участие в подавлении польского восстания 1830 – 1831 гг., венгерском походе 1849 г. С начала Крымской войны командовал корпусом на Дунае, затем Южной армией, в феврале 1855 г. сменил А. С. Меншикова на посту главнокомандующего Крымской армией.</w:t>
      </w:r>
      <w:proofErr w:type="gram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Действовал нерешительно. Потерпел поражение на Черной речке. С конца 1855 г. от командования отстранен. С 1856 г. – наместник Царства Польского.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Грановский Тимофей Николаевич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(1813 — 1855)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Историк, общественный деятель. В середине 1830-х гг. – член кружка Н.В. Станкевича. С 1839 г. читал в Московском университете курс истории Средних веков, затем – Древней истории и Истории нового времени. Один из лидеров западников. Утверждал единство исторического процесса, в основе которого – стремление всех народов к свободе. Движущей силой истории считал нравственное совершенствование личности. Полемизировал со сторонниками теории «официальной народности» и славянофилами. С 1849 г. – профессор Московского университета. Основные произведения: лекции по истории Средневековья. 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Греч Николай Иванович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(1787–1867)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Публицист, издатель, литературовед. В 1812 г. при поддержке С. С. Уварова основал журнал «Сын Отечества», в 1825 г. слил его с журналом Ф.В. 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Булгарина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«Северная пчела». Начав с этого времени принимать близкое участие в «Северной пчеле», Греч с 1831 г. стал редактировать ее совместно с 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Булгариным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. Сотрудничал с Министерством внутренних дел и III отделением С. Е. И. В. канцелярии. В 1850-х гг. популярность Н.И. Греча как журналиста резко упала.</w:t>
      </w:r>
    </w:p>
    <w:p w:rsidR="007A7093" w:rsidRPr="007A7093" w:rsidRDefault="007A7093" w:rsidP="007A7093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</w:pP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Грибоедов Александр Сергеевич 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27"/>
          <w:szCs w:val="27"/>
          <w:lang w:eastAsia="ru-RU"/>
        </w:rPr>
        <w:t>(1795–1829)</w:t>
      </w:r>
      <w:r w:rsidRPr="007A7093">
        <w:rPr>
          <w:rFonts w:ascii="Times New Roman" w:eastAsia="Times New Roman" w:hAnsi="Times New Roman" w:cs="Times New Roman"/>
          <w:b/>
          <w:bCs/>
          <w:color w:val="862935"/>
          <w:sz w:val="36"/>
          <w:szCs w:val="36"/>
          <w:lang w:eastAsia="ru-RU"/>
        </w:rPr>
        <w:t xml:space="preserve"> </w:t>
      </w:r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Писатель, дипломат. Учился в Московском университете, с началом Отечественной войны 1812 г. вступил корнетом в гусарский полк. Выйдя в отставку (1816) поступил на службу в Министерство иностранных дел. С 1818 г. Грибоедов почти безвыездно находится на Кавказе и в Персии. Здесь в 1824 г. была написана комедия «Горе от ума», запрещенная к публикации, однако широко распространявшаяся в списках. Арестовывался в связи с делом декабристов, но был оправдан. Участвовал в разработке </w:t>
      </w:r>
      <w:proofErr w:type="spellStart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>Туркманчайского</w:t>
      </w:r>
      <w:proofErr w:type="spellEnd"/>
      <w:r w:rsidRPr="007A7093">
        <w:rPr>
          <w:rFonts w:ascii="Times New Roman" w:eastAsia="Times New Roman" w:hAnsi="Times New Roman" w:cs="Times New Roman"/>
          <w:color w:val="000000"/>
          <w:lang w:eastAsia="ru-RU"/>
        </w:rPr>
        <w:t xml:space="preserve"> мирного договора (1828). В 1829 г. убит в Тегеране толпой фанатиков. Похоронен в Тифлисе (Тбилиси).</w:t>
      </w:r>
    </w:p>
    <w:p w:rsidR="007A7093" w:rsidRPr="007A7093" w:rsidRDefault="007A7093" w:rsidP="007A7093">
      <w:pPr>
        <w:pStyle w:val="2"/>
        <w:rPr>
          <w:rFonts w:ascii="Times New Roman" w:hAnsi="Times New Roman" w:cs="Times New Roman"/>
          <w:b w:val="0"/>
        </w:rPr>
      </w:pPr>
      <w:r w:rsidRPr="007A7093">
        <w:rPr>
          <w:rFonts w:ascii="Times New Roman" w:hAnsi="Times New Roman" w:cs="Times New Roman"/>
        </w:rPr>
        <w:t xml:space="preserve">Гурко Иосиф Владимирович (1828–1901) </w:t>
      </w:r>
      <w:r w:rsidRPr="007A709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Русский генерал-фельдмаршал, выдающийся полководец русской армии. В русско-турецкой войне 1877–78 гг. командовал передовым отрядом армии на Дунае, овладел Тырновом, взял </w:t>
      </w:r>
      <w:proofErr w:type="spellStart"/>
      <w:r w:rsidRPr="007A7093">
        <w:rPr>
          <w:rFonts w:ascii="Times New Roman" w:hAnsi="Times New Roman" w:cs="Times New Roman"/>
          <w:b w:val="0"/>
          <w:color w:val="000000"/>
          <w:sz w:val="22"/>
          <w:szCs w:val="22"/>
        </w:rPr>
        <w:t>Шипку</w:t>
      </w:r>
      <w:proofErr w:type="spellEnd"/>
      <w:r w:rsidRPr="007A7093">
        <w:rPr>
          <w:rFonts w:ascii="Times New Roman" w:hAnsi="Times New Roman" w:cs="Times New Roman"/>
          <w:b w:val="0"/>
          <w:color w:val="000000"/>
          <w:sz w:val="22"/>
          <w:szCs w:val="22"/>
        </w:rPr>
        <w:t>. Под Плевной был назначен начальником кавалерии Западного отряда. Во время походов Гурко подавал свои солдатам пример личной выносливости и бодрости, деля наравне с рядовыми все трудности</w:t>
      </w:r>
      <w:proofErr w:type="gramStart"/>
      <w:r w:rsidRPr="007A709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.</w:t>
      </w:r>
      <w:proofErr w:type="gramEnd"/>
      <w:r w:rsidRPr="007A709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Он лично руководил подъемом и спуском артиллерии по обледенелым горным тропам, подбадривая солдат живым словом, ночуя у костров под открытым небом, довольствуясь, как и они, походным пайком. </w:t>
      </w:r>
    </w:p>
    <w:p w:rsidR="003339BD" w:rsidRPr="007A7093" w:rsidRDefault="003339BD">
      <w:pPr>
        <w:rPr>
          <w:rFonts w:ascii="Times New Roman" w:hAnsi="Times New Roman" w:cs="Times New Roman"/>
        </w:rPr>
      </w:pPr>
    </w:p>
    <w:sectPr w:rsidR="003339BD" w:rsidRPr="007A7093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93"/>
    <w:rsid w:val="003339BD"/>
    <w:rsid w:val="003D73CC"/>
    <w:rsid w:val="00534000"/>
    <w:rsid w:val="006E5B43"/>
    <w:rsid w:val="007227F8"/>
    <w:rsid w:val="007A709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7A7093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7093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093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093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7A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2014-03-17T09:15:00Z</dcterms:created>
  <dcterms:modified xsi:type="dcterms:W3CDTF">2014-03-17T09:18:00Z</dcterms:modified>
</cp:coreProperties>
</file>