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FF" w:rsidRPr="007B35FF" w:rsidRDefault="007B35FF" w:rsidP="007B35F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Варламов Александр Егорович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(1801–1848)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color w:val="000000"/>
          <w:lang w:eastAsia="ru-RU"/>
        </w:rPr>
        <w:t xml:space="preserve">Русский композитор. </w:t>
      </w:r>
      <w:proofErr w:type="gramStart"/>
      <w:r w:rsidRPr="007B35FF">
        <w:rPr>
          <w:rFonts w:ascii="Arial" w:eastAsia="Times New Roman" w:hAnsi="Arial" w:cs="Arial"/>
          <w:color w:val="000000"/>
          <w:lang w:eastAsia="ru-RU"/>
        </w:rPr>
        <w:t>Автор музыки к драматическим спектаклям, в том числе «Рославлев» (совместно с А. Н. Верстовским), «</w:t>
      </w:r>
      <w:proofErr w:type="spellStart"/>
      <w:r w:rsidRPr="007B35FF">
        <w:rPr>
          <w:rFonts w:ascii="Arial" w:eastAsia="Times New Roman" w:hAnsi="Arial" w:cs="Arial"/>
          <w:color w:val="000000"/>
          <w:lang w:eastAsia="ru-RU"/>
        </w:rPr>
        <w:t>Двумужница</w:t>
      </w:r>
      <w:proofErr w:type="spellEnd"/>
      <w:r w:rsidRPr="007B35FF">
        <w:rPr>
          <w:rFonts w:ascii="Arial" w:eastAsia="Times New Roman" w:hAnsi="Arial" w:cs="Arial"/>
          <w:color w:val="000000"/>
          <w:lang w:eastAsia="ru-RU"/>
        </w:rPr>
        <w:t>», «Ермак», «Муромские леса», «Гамлет» и др.; балетов «Забавы султана» (1834), «Хитрый мальчик и людоед» (по сказке Ш. Перро «Мальчик с пальчик», совместно с А. С. Гурьяновым, 1837); хоров, вокальных ансамблей и др.</w:t>
      </w:r>
      <w:proofErr w:type="gramEnd"/>
    </w:p>
    <w:p w:rsidR="007B35FF" w:rsidRPr="007B35FF" w:rsidRDefault="007B35FF" w:rsidP="007B35F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Великий князь Константин Николаевич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(1827–1892)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color w:val="000000"/>
          <w:lang w:eastAsia="ru-RU"/>
        </w:rPr>
        <w:t xml:space="preserve">Брат императора Александра II. Умеренный либерал. С 1845 г. – глава Русского географического общества. Активный участник подготовки Крестьянской реформы 1861 г. В 1860–1861 гг. – председатель Главного комитета по крестьянскому делу. С 1850 г. – член Государственного совета, в 1865–1880 гг. – его председатель. В 1853–1881 гг. возглавлял Морское министерство. </w:t>
      </w:r>
    </w:p>
    <w:p w:rsidR="007B35FF" w:rsidRPr="007B35FF" w:rsidRDefault="007B35FF" w:rsidP="007B35F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Великий князь Константин Павлович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(1779–1831)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color w:val="000000"/>
          <w:lang w:eastAsia="ru-RU"/>
        </w:rPr>
        <w:t>Второй сын императора Павла I, брат императоров Александра I и Николая I. С 1814 г. – главнокомандующий польской армией, фактически наместник Польши. С 1820 г. женат н</w:t>
      </w:r>
      <w:proofErr w:type="gramStart"/>
      <w:r w:rsidRPr="007B35FF">
        <w:rPr>
          <w:rFonts w:ascii="Arial" w:eastAsia="Times New Roman" w:hAnsi="Arial" w:cs="Arial"/>
          <w:color w:val="000000"/>
          <w:lang w:eastAsia="ru-RU"/>
        </w:rPr>
        <w:t>а Иоа</w:t>
      </w:r>
      <w:proofErr w:type="gramEnd"/>
      <w:r w:rsidRPr="007B35FF">
        <w:rPr>
          <w:rFonts w:ascii="Arial" w:eastAsia="Times New Roman" w:hAnsi="Arial" w:cs="Arial"/>
          <w:color w:val="000000"/>
          <w:lang w:eastAsia="ru-RU"/>
        </w:rPr>
        <w:t xml:space="preserve">нне Грудзинской, которой был присвоен титул княгини </w:t>
      </w:r>
      <w:proofErr w:type="spellStart"/>
      <w:r w:rsidRPr="007B35FF">
        <w:rPr>
          <w:rFonts w:ascii="Arial" w:eastAsia="Times New Roman" w:hAnsi="Arial" w:cs="Arial"/>
          <w:color w:val="000000"/>
          <w:lang w:eastAsia="ru-RU"/>
        </w:rPr>
        <w:t>Лович</w:t>
      </w:r>
      <w:proofErr w:type="spellEnd"/>
      <w:r w:rsidRPr="007B35FF">
        <w:rPr>
          <w:rFonts w:ascii="Arial" w:eastAsia="Times New Roman" w:hAnsi="Arial" w:cs="Arial"/>
          <w:color w:val="000000"/>
          <w:lang w:eastAsia="ru-RU"/>
        </w:rPr>
        <w:t xml:space="preserve">. В 1823 г. подписал акт об отречении от наследования престола, в </w:t>
      </w:r>
      <w:proofErr w:type="gramStart"/>
      <w:r w:rsidRPr="007B35FF">
        <w:rPr>
          <w:rFonts w:ascii="Arial" w:eastAsia="Times New Roman" w:hAnsi="Arial" w:cs="Arial"/>
          <w:color w:val="000000"/>
          <w:lang w:eastAsia="ru-RU"/>
        </w:rPr>
        <w:t>связи</w:t>
      </w:r>
      <w:proofErr w:type="gramEnd"/>
      <w:r w:rsidRPr="007B35FF">
        <w:rPr>
          <w:rFonts w:ascii="Arial" w:eastAsia="Times New Roman" w:hAnsi="Arial" w:cs="Arial"/>
          <w:color w:val="000000"/>
          <w:lang w:eastAsia="ru-RU"/>
        </w:rPr>
        <w:t xml:space="preserve"> с чем наследником стал великий князь Николай Павлович. Манифест хранился в строгой тайне, был опубликован лишь после смерти Александра I, что привело к междуцарствию и способствовало восстанию декабристов. Во время польского восстания 1830–1831 гг. едва не был захвачен польскими повстанцами, но сумел бежать и пробиться к русским войскам. Умер от холеры по дороге в Минск, куда выехал, спасаясь от наступающих повстанцев. </w:t>
      </w:r>
    </w:p>
    <w:p w:rsidR="007B35FF" w:rsidRPr="007B35FF" w:rsidRDefault="007B35FF" w:rsidP="007B35F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Великий князь Михаил Павлович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(1798–1849)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color w:val="000000"/>
          <w:lang w:eastAsia="ru-RU"/>
        </w:rPr>
        <w:t>Великий князь, брат императоров Александра I и Николая I. С 1819 генерал-фельдцейхмейстер, с 1825 генерал-инспектор по инженерной части. С 1831 главный начальник военно-учебных заведений, учредил 14 новых кадетских корпусов. С 1844 главнокомандующий гвардейским и гренадерским корпусами.</w:t>
      </w:r>
    </w:p>
    <w:p w:rsidR="007B35FF" w:rsidRPr="007B35FF" w:rsidRDefault="007B35FF" w:rsidP="007B35FF">
      <w:pPr>
        <w:pStyle w:val="2"/>
        <w:rPr>
          <w:b w:val="0"/>
        </w:rPr>
      </w:pPr>
      <w:r>
        <w:t xml:space="preserve">Венецианов Алексей Гаврилович (1780–1847) </w:t>
      </w:r>
      <w:r w:rsidRPr="007B35FF">
        <w:rPr>
          <w:b w:val="0"/>
          <w:color w:val="000000"/>
          <w:sz w:val="22"/>
          <w:szCs w:val="22"/>
        </w:rPr>
        <w:t xml:space="preserve">Родоначальник бытового жанра в русской живописи. Родился в московской купеческой семье. Профессионального живописного образования не получил, брал уроки мастерства у В. Л. </w:t>
      </w:r>
      <w:proofErr w:type="spellStart"/>
      <w:r w:rsidRPr="007B35FF">
        <w:rPr>
          <w:b w:val="0"/>
          <w:color w:val="000000"/>
          <w:sz w:val="22"/>
          <w:szCs w:val="22"/>
        </w:rPr>
        <w:t>Боровиковского</w:t>
      </w:r>
      <w:proofErr w:type="spellEnd"/>
      <w:r w:rsidRPr="007B35FF">
        <w:rPr>
          <w:b w:val="0"/>
          <w:color w:val="000000"/>
          <w:sz w:val="22"/>
          <w:szCs w:val="22"/>
        </w:rPr>
        <w:t xml:space="preserve">. Темой творчества Венецианова стал мир природы, впервые в русской живописи, запечатленный непосредственно с натуры. Галерея работ художника «На жатве. Лето», «На пашне. Весна», «Сенокос», «Спящий пастушок» и другие. Это обращение к крестьянскому быту, опоэтизированному и облагороженному, стало наряду с картинами </w:t>
      </w:r>
      <w:proofErr w:type="spellStart"/>
      <w:r w:rsidRPr="007B35FF">
        <w:rPr>
          <w:b w:val="0"/>
          <w:color w:val="000000"/>
          <w:sz w:val="22"/>
          <w:szCs w:val="22"/>
        </w:rPr>
        <w:t>Тропинина</w:t>
      </w:r>
      <w:proofErr w:type="spellEnd"/>
      <w:r w:rsidRPr="007B35FF">
        <w:rPr>
          <w:b w:val="0"/>
          <w:color w:val="000000"/>
          <w:sz w:val="22"/>
          <w:szCs w:val="22"/>
        </w:rPr>
        <w:t xml:space="preserve"> своеобразным открытием для публики своего времени. Венецианов создал художественную школу для одаренных молодых людей (в том числе и крепостных).</w:t>
      </w:r>
    </w:p>
    <w:p w:rsidR="007B35FF" w:rsidRPr="007B35FF" w:rsidRDefault="007B35FF" w:rsidP="007B35FF">
      <w:pPr>
        <w:pStyle w:val="2"/>
        <w:rPr>
          <w:b w:val="0"/>
        </w:rPr>
      </w:pPr>
      <w:r>
        <w:t xml:space="preserve">Верещагин Василий Васильевич (1842–1904) </w:t>
      </w:r>
      <w:r w:rsidRPr="007B35FF">
        <w:rPr>
          <w:b w:val="0"/>
          <w:color w:val="000000"/>
          <w:sz w:val="22"/>
          <w:szCs w:val="22"/>
        </w:rPr>
        <w:t xml:space="preserve">Художник батального жанра, публицист, путешественник, участник </w:t>
      </w:r>
      <w:proofErr w:type="spellStart"/>
      <w:r w:rsidRPr="007B35FF">
        <w:rPr>
          <w:b w:val="0"/>
          <w:color w:val="000000"/>
          <w:sz w:val="22"/>
          <w:szCs w:val="22"/>
        </w:rPr>
        <w:t>Туркестанстской</w:t>
      </w:r>
      <w:proofErr w:type="spellEnd"/>
      <w:r w:rsidRPr="007B35FF">
        <w:rPr>
          <w:b w:val="0"/>
          <w:color w:val="000000"/>
          <w:sz w:val="22"/>
          <w:szCs w:val="22"/>
        </w:rPr>
        <w:t xml:space="preserve"> (1867—1870), Русско-турецкой (1877—1878), Русско-японской (1904) войн. Родился в Череповце в дворянской семье, окончил Кадетский корпус в Петербурге, учился в Академии Художеств, занимался в Академии изящных иску</w:t>
      </w:r>
      <w:proofErr w:type="gramStart"/>
      <w:r w:rsidRPr="007B35FF">
        <w:rPr>
          <w:b w:val="0"/>
          <w:color w:val="000000"/>
          <w:sz w:val="22"/>
          <w:szCs w:val="22"/>
        </w:rPr>
        <w:t>сств в П</w:t>
      </w:r>
      <w:proofErr w:type="gramEnd"/>
      <w:r w:rsidRPr="007B35FF">
        <w:rPr>
          <w:b w:val="0"/>
          <w:color w:val="000000"/>
          <w:sz w:val="22"/>
          <w:szCs w:val="22"/>
        </w:rPr>
        <w:t xml:space="preserve">ариже у исторического живописца </w:t>
      </w:r>
      <w:proofErr w:type="spellStart"/>
      <w:r w:rsidRPr="007B35FF">
        <w:rPr>
          <w:b w:val="0"/>
          <w:color w:val="000000"/>
          <w:sz w:val="22"/>
          <w:szCs w:val="22"/>
        </w:rPr>
        <w:t>Жерома</w:t>
      </w:r>
      <w:proofErr w:type="spellEnd"/>
      <w:r w:rsidRPr="007B35FF">
        <w:rPr>
          <w:b w:val="0"/>
          <w:color w:val="000000"/>
          <w:sz w:val="22"/>
          <w:szCs w:val="22"/>
        </w:rPr>
        <w:t xml:space="preserve">. Получил признание и мировую славу еще при жизни, устроив более 60 персональных выставок. Темой его картин стала война, ее жестокость и бессмысленность, как на знаменитом полотне «Апофеоз войны». Свидетель войн 1870—1900-х годов, Верещагин создавал целые серии работ, посвященные отдельным военным событиям, таким </w:t>
      </w:r>
      <w:proofErr w:type="gramStart"/>
      <w:r w:rsidRPr="007B35FF">
        <w:rPr>
          <w:b w:val="0"/>
          <w:color w:val="000000"/>
          <w:sz w:val="22"/>
          <w:szCs w:val="22"/>
        </w:rPr>
        <w:t>образом</w:t>
      </w:r>
      <w:proofErr w:type="gramEnd"/>
      <w:r w:rsidRPr="007B35FF">
        <w:rPr>
          <w:b w:val="0"/>
          <w:color w:val="000000"/>
          <w:sz w:val="22"/>
          <w:szCs w:val="22"/>
        </w:rPr>
        <w:t xml:space="preserve"> введя в обиход искусства живописи принцип «серийности». Это в свою очередь предвосхитит открытие кинематографа. Среди работ художника </w:t>
      </w:r>
      <w:r w:rsidRPr="007B35FF">
        <w:rPr>
          <w:b w:val="0"/>
          <w:color w:val="000000"/>
          <w:sz w:val="22"/>
          <w:szCs w:val="22"/>
        </w:rPr>
        <w:lastRenderedPageBreak/>
        <w:t>выделяются монументальные полотна «</w:t>
      </w:r>
      <w:proofErr w:type="spellStart"/>
      <w:r w:rsidRPr="007B35FF">
        <w:rPr>
          <w:b w:val="0"/>
          <w:color w:val="000000"/>
          <w:sz w:val="22"/>
          <w:szCs w:val="22"/>
        </w:rPr>
        <w:t>Шипка-Шейново</w:t>
      </w:r>
      <w:proofErr w:type="spellEnd"/>
      <w:r w:rsidRPr="007B35FF">
        <w:rPr>
          <w:b w:val="0"/>
          <w:color w:val="000000"/>
          <w:sz w:val="22"/>
          <w:szCs w:val="22"/>
        </w:rPr>
        <w:t xml:space="preserve">. Скобелев под </w:t>
      </w:r>
      <w:proofErr w:type="spellStart"/>
      <w:r w:rsidRPr="007B35FF">
        <w:rPr>
          <w:b w:val="0"/>
          <w:color w:val="000000"/>
          <w:sz w:val="22"/>
          <w:szCs w:val="22"/>
        </w:rPr>
        <w:t>Шипкой</w:t>
      </w:r>
      <w:proofErr w:type="spellEnd"/>
      <w:r w:rsidRPr="007B35FF">
        <w:rPr>
          <w:b w:val="0"/>
          <w:color w:val="000000"/>
          <w:sz w:val="22"/>
          <w:szCs w:val="22"/>
        </w:rPr>
        <w:t>», «Двери Тамерлана», «Смертельно раненный» и другие. К заслугам Верещагина безусловно следует отнести и этнографический вклад в развитие культуры и истории, его полотна изобилуют подробностями и деталями быта экзотических стран — Турции, Индии, Японию, Палестину — что стало открытием для публики того времени. В 1904 году, участвуя в боевых действиях Русско-японской войны, Верещагин погиб на броненосце «Петропавловск», подорвавшемся на японской мине близ Порт-Артура.</w:t>
      </w:r>
    </w:p>
    <w:p w:rsidR="007B35FF" w:rsidRPr="007B35FF" w:rsidRDefault="007B35FF" w:rsidP="007B35FF">
      <w:pPr>
        <w:pStyle w:val="2"/>
        <w:rPr>
          <w:b w:val="0"/>
        </w:rPr>
      </w:pPr>
      <w:proofErr w:type="spellStart"/>
      <w:r>
        <w:t>Винценгероде</w:t>
      </w:r>
      <w:proofErr w:type="spellEnd"/>
      <w:r>
        <w:t xml:space="preserve"> Фердинанд Федорович (1770–1818) </w:t>
      </w:r>
      <w:r w:rsidRPr="007B35FF">
        <w:rPr>
          <w:b w:val="0"/>
          <w:color w:val="000000"/>
          <w:sz w:val="22"/>
          <w:szCs w:val="22"/>
        </w:rPr>
        <w:t xml:space="preserve">Герой Отечественной войны 1812 г., генерал-майор, командир первого армейского партизанского отряда. Военачальник, генерал от кавалерии, барон. Служил в </w:t>
      </w:r>
      <w:proofErr w:type="gramStart"/>
      <w:r w:rsidRPr="007B35FF">
        <w:rPr>
          <w:b w:val="0"/>
          <w:color w:val="000000"/>
          <w:sz w:val="22"/>
          <w:szCs w:val="22"/>
        </w:rPr>
        <w:t>гессенской</w:t>
      </w:r>
      <w:proofErr w:type="gramEnd"/>
      <w:r w:rsidRPr="007B35FF">
        <w:rPr>
          <w:b w:val="0"/>
          <w:color w:val="000000"/>
          <w:sz w:val="22"/>
          <w:szCs w:val="22"/>
        </w:rPr>
        <w:t>, затем в австрийской армиях. С 1797 г. на русской службе. Участник Итальянского и Швейцарского походов А. В. Суворова. Участвовал в войне с Францией в 1805 г. В 1809 г. воевал против Наполеона в составе австрийской армии. С 1812 г. вновь на русской службе. В Отечественную войну 1812 г. командовал первым армейским партизанским отрядом, созданным по инициативе М. Б. Барклая де Толли. Участвовал в Заграничном походе 1813 – 1814 гг.</w:t>
      </w:r>
    </w:p>
    <w:p w:rsidR="007B35FF" w:rsidRPr="007B35FF" w:rsidRDefault="007B35FF" w:rsidP="007B35F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Воинов Александр Львович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(1770–1831)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color w:val="000000"/>
          <w:lang w:eastAsia="ru-RU"/>
        </w:rPr>
        <w:t xml:space="preserve">Русский генерал, участник Наполеоновских войн. В Отечественную войну 1812 г. был командиром 3-го корпуса в Дунайской армии. В ходе Заграничных походов 1813–1814 гг., отличился при осаде Торна. В 1824 г. назначен, тогда еще, великим князем Николаем Павловичем командиром Гвардейского корпуса. 14 декабря 1825 г. во время декабристского восстания А.Л. Воинов несколько раз выезжал к бунтовавшим войскам, уговаривая их повиноваться. В один из таких выездов в него выстрелил Кюхельбекер, но промахнулся. 15 декабря 1825 г. </w:t>
      </w:r>
      <w:proofErr w:type="spellStart"/>
      <w:r w:rsidRPr="007B35FF">
        <w:rPr>
          <w:rFonts w:ascii="Arial" w:eastAsia="Times New Roman" w:hAnsi="Arial" w:cs="Arial"/>
          <w:color w:val="000000"/>
          <w:lang w:eastAsia="ru-RU"/>
        </w:rPr>
        <w:t>Воинова</w:t>
      </w:r>
      <w:proofErr w:type="spellEnd"/>
      <w:r w:rsidRPr="007B35FF">
        <w:rPr>
          <w:rFonts w:ascii="Arial" w:eastAsia="Times New Roman" w:hAnsi="Arial" w:cs="Arial"/>
          <w:color w:val="000000"/>
          <w:lang w:eastAsia="ru-RU"/>
        </w:rPr>
        <w:t xml:space="preserve"> пожаловали в генерал-адъютанты, он также был назначен членом Верховного суда над декабристами.</w:t>
      </w:r>
    </w:p>
    <w:p w:rsidR="007B35FF" w:rsidRPr="007B35FF" w:rsidRDefault="007B35FF" w:rsidP="007B35F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Волконская Мария Николаевна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(1805–1863)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color w:val="000000"/>
          <w:lang w:eastAsia="ru-RU"/>
        </w:rPr>
        <w:t>Княгиня, дочь генерала Н. Н. Раевского, жена декабриста С. Г. Волконского, друг А. С. Пушкина, который посвящал ей стихи. Одна из первых из жен декабристов, преодолев сопротивление семьи, последовала в 1827 г. за мужем в Забайкалье, где жила до 1855 г. Оставила «Записки» с ярким описанием тюремно-каторжного режима, характеристикой многих декабристов, сведениями о быте, нравах, культуре и отношении населения Сибири к декабристам.</w:t>
      </w:r>
    </w:p>
    <w:p w:rsidR="007B35FF" w:rsidRPr="007B35FF" w:rsidRDefault="007B35FF" w:rsidP="007B35F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Волконский Сергей Григорьевич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(1788–1865)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color w:val="000000"/>
          <w:lang w:eastAsia="ru-RU"/>
        </w:rPr>
        <w:t xml:space="preserve">Декабрист. Князь, генерал-майор. Отличился в войне с Францией в 1806–1807 гг., с Турцией в 1810–1811 гг., Отечественной войне 1812 г. и Заграничном походе 1813–1815 гг. Член Союза благоденствия и Южного общества, с 1823 г. возглавлял Каменскую управу общества. </w:t>
      </w:r>
      <w:proofErr w:type="gramStart"/>
      <w:r w:rsidRPr="007B35FF">
        <w:rPr>
          <w:rFonts w:ascii="Arial" w:eastAsia="Times New Roman" w:hAnsi="Arial" w:cs="Arial"/>
          <w:color w:val="000000"/>
          <w:lang w:eastAsia="ru-RU"/>
        </w:rPr>
        <w:t>Осужден</w:t>
      </w:r>
      <w:proofErr w:type="gramEnd"/>
      <w:r w:rsidRPr="007B35FF">
        <w:rPr>
          <w:rFonts w:ascii="Arial" w:eastAsia="Times New Roman" w:hAnsi="Arial" w:cs="Arial"/>
          <w:color w:val="000000"/>
          <w:lang w:eastAsia="ru-RU"/>
        </w:rPr>
        <w:t xml:space="preserve"> по I разряду, приговорен к 20-летней каторге. В 1835 г. переведен на поселение в Петровском заводе, с 1845 г. жил в Иркутске. В 1856 г. по амнистии вернулся в Европейскую Россию, ему и детям возвращены дворянство и титул.</w:t>
      </w:r>
    </w:p>
    <w:p w:rsidR="007B35FF" w:rsidRPr="007B35FF" w:rsidRDefault="007B35FF" w:rsidP="007B35F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Воронихин Андрей Никифорович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(1759–1814)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color w:val="000000"/>
          <w:lang w:eastAsia="ru-RU"/>
        </w:rPr>
        <w:t>Архитектор и художник. Родился в Новом Усолье крепостным графа А. С. Строганова. Заметив способности Воронихина к рисованию, Строганов в 1777 г. отправил его в Москву. Здесь Воронихин учился у Казакова и Баженова. Из Москвы Строганов перевел его в Петербург. С 1784 по 1790 г. Воронихин, по желанию графа, путешествовал по России и Западной Европе. За границей он изучал живопись и архитектуру, занимался естественными науками, математикой, астрономией. В 1786 г. Воронихин получи</w:t>
      </w:r>
      <w:r>
        <w:rPr>
          <w:rFonts w:ascii="Arial" w:eastAsia="Times New Roman" w:hAnsi="Arial" w:cs="Arial"/>
          <w:color w:val="000000"/>
          <w:lang w:eastAsia="ru-RU"/>
        </w:rPr>
        <w:t>л от графа Строганова вольную.</w:t>
      </w:r>
      <w:r>
        <w:rPr>
          <w:rFonts w:ascii="Arial" w:eastAsia="Times New Roman" w:hAnsi="Arial" w:cs="Arial"/>
          <w:color w:val="000000"/>
          <w:lang w:eastAsia="ru-RU"/>
        </w:rPr>
        <w:br/>
      </w:r>
      <w:r w:rsidRPr="007B35FF">
        <w:rPr>
          <w:rFonts w:ascii="Arial" w:eastAsia="Times New Roman" w:hAnsi="Arial" w:cs="Arial"/>
          <w:color w:val="000000"/>
          <w:lang w:eastAsia="ru-RU"/>
        </w:rPr>
        <w:t xml:space="preserve">По возвращении в Петербург Андрей Никифорович продолжал изучать законы </w:t>
      </w:r>
      <w:r w:rsidRPr="007B35FF">
        <w:rPr>
          <w:rFonts w:ascii="Arial" w:eastAsia="Times New Roman" w:hAnsi="Arial" w:cs="Arial"/>
          <w:color w:val="000000"/>
          <w:lang w:eastAsia="ru-RU"/>
        </w:rPr>
        <w:lastRenderedPageBreak/>
        <w:t>перспективы, а также занимался миниатюрной живописью. В 1794 г. за представленную в Академию художеств картину, изображающую перспективу картинной галереи графа Строганова, Воронихин получил звание академика. Выдающимся творением Воронихина-архитектора является собор Казанской Божьей Матери в Петербурге, сооружение которого было закончено в 1811 г. В числе других построек Воронихина колоннады и каскад в Петергофе, дворцы в Стрельне, Гатчине, Павловске.</w:t>
      </w:r>
    </w:p>
    <w:p w:rsidR="007B35FF" w:rsidRPr="007B35FF" w:rsidRDefault="007B35FF" w:rsidP="007B35F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Воронцов Михаил Семенович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(1782–1856)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color w:val="000000"/>
          <w:lang w:eastAsia="ru-RU"/>
        </w:rPr>
        <w:t xml:space="preserve">Государственный деятель, военачальник, генерал-фельдмаршал (в 1856 г.), светлейший князь (с 1852 г.). Участник боев с горцами на Кавказе в 1803 г., войн с Францией в 1805 и 1806–1807 гг., с Турцией в 1806–1812 гг., Отечественной войны 1812 г. и Заграничных походов 1813–1815 гг., Русско-турецкой войны 1828–1829 гг. Один из крупнейших землевладельцев. Был близок к декабристам. В 1820 г. пытался основать дворянское общество для постепенного освобождения крестьян. С 1823 г. – генерал-губернатор </w:t>
      </w:r>
      <w:proofErr w:type="spellStart"/>
      <w:r w:rsidRPr="007B35FF">
        <w:rPr>
          <w:rFonts w:ascii="Arial" w:eastAsia="Times New Roman" w:hAnsi="Arial" w:cs="Arial"/>
          <w:color w:val="000000"/>
          <w:lang w:eastAsia="ru-RU"/>
        </w:rPr>
        <w:t>Новороссии</w:t>
      </w:r>
      <w:proofErr w:type="spellEnd"/>
      <w:r w:rsidRPr="007B35FF">
        <w:rPr>
          <w:rFonts w:ascii="Arial" w:eastAsia="Times New Roman" w:hAnsi="Arial" w:cs="Arial"/>
          <w:color w:val="000000"/>
          <w:lang w:eastAsia="ru-RU"/>
        </w:rPr>
        <w:t xml:space="preserve"> и наместник (с 1828 г. генерал-губернатор) Бессарабии. В 1823–1824 гг. покровительствовал сосланному на юг А. С. Пушкину, затем их отношения испортились из-за увлечения А. С. Пушкина женой М. С. Воронцова. В 1844–1854 гг. – наместник и главнокомандующий войсками на Кавказе. Проводил политику слияния кавказских областей с империей при опоре на местное дворянство.</w:t>
      </w:r>
    </w:p>
    <w:p w:rsidR="007B35FF" w:rsidRPr="007B35FF" w:rsidRDefault="007B35FF" w:rsidP="007B35F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Вышнеградский</w:t>
      </w:r>
      <w:proofErr w:type="spellEnd"/>
      <w:r w:rsidRPr="007B35F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Иван Алексеевич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(1831–1895)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B35FF">
        <w:rPr>
          <w:rFonts w:ascii="Arial" w:eastAsia="Times New Roman" w:hAnsi="Arial" w:cs="Arial"/>
          <w:color w:val="000000"/>
          <w:lang w:eastAsia="ru-RU"/>
        </w:rPr>
        <w:t>Российский государственный деятель, предприниматель, ученый. В 1887 г. – управляющий Министерством финансов, в 1888 – 1892 гг. – министр финансов. Усилил протекционистскую политику, увеличил прямые и косвенные налоги, добился роста золотого запаса, начал подготовку введения винной монополии.</w:t>
      </w:r>
    </w:p>
    <w:p w:rsidR="003339BD" w:rsidRPr="007B35FF" w:rsidRDefault="003339BD"/>
    <w:sectPr w:rsidR="003339BD" w:rsidRPr="007B35FF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5FF"/>
    <w:rsid w:val="003339BD"/>
    <w:rsid w:val="003D73CC"/>
    <w:rsid w:val="00534000"/>
    <w:rsid w:val="006E5B43"/>
    <w:rsid w:val="007B35FF"/>
    <w:rsid w:val="008B79FB"/>
    <w:rsid w:val="008E17C2"/>
    <w:rsid w:val="0096443A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7B35FF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35FF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5FF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5FF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7B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2014-03-17T09:10:00Z</dcterms:created>
  <dcterms:modified xsi:type="dcterms:W3CDTF">2014-03-17T09:14:00Z</dcterms:modified>
</cp:coreProperties>
</file>