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322A45">
        <w:rPr>
          <w:rFonts w:ascii="Franklin Gothic Demi" w:hAnsi="Franklin Gothic Demi" w:cs="Franklin Gothic Demi"/>
          <w:bCs/>
          <w:color w:val="000000"/>
          <w:lang w:eastAsia="ru-RU"/>
        </w:rPr>
        <w:t>Из выступления главного редактора журнала «Новый мир» А.Т.Твардовского на заседании секретариата правления Союза писателей СССР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322A45">
        <w:rPr>
          <w:rFonts w:ascii="Century Schoolbook" w:hAnsi="Century Schoolbook" w:cs="Century Schoolbook"/>
          <w:color w:val="000000"/>
          <w:lang w:eastAsia="ru-RU"/>
        </w:rPr>
        <w:t xml:space="preserve">«Новый мир» открыто заявляет о своих идейно-эстетических пристрастиях и воспринимает как похвалу странные упреки в том, что он «гнет свою линию». «Гнуть свою линию» — значит быть принципиальным, держаться того, в чем </w:t>
      </w:r>
      <w:proofErr w:type="gramStart"/>
      <w:r w:rsidRPr="00322A45">
        <w:rPr>
          <w:rFonts w:ascii="Century Schoolbook" w:hAnsi="Century Schoolbook" w:cs="Century Schoolbook"/>
          <w:color w:val="000000"/>
          <w:lang w:eastAsia="ru-RU"/>
        </w:rPr>
        <w:t>убежден</w:t>
      </w:r>
      <w:proofErr w:type="gramEnd"/>
      <w:r w:rsidRPr="00322A45">
        <w:rPr>
          <w:rFonts w:ascii="Century Schoolbook" w:hAnsi="Century Schoolbook" w:cs="Century Schoolbook"/>
          <w:color w:val="000000"/>
          <w:lang w:eastAsia="ru-RU"/>
        </w:rPr>
        <w:t xml:space="preserve"> и что усвоено из того учения, которое всесильно, потому что верно.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322A45">
        <w:rPr>
          <w:rFonts w:ascii="Century Schoolbook" w:hAnsi="Century Schoolbook" w:cs="Century Schoolbook"/>
          <w:color w:val="000000"/>
          <w:lang w:eastAsia="ru-RU"/>
        </w:rPr>
        <w:t>Для меня лично всегда было ясно, что в области эстетики марксизм-ленинизм отдает предпочтение реализму, жизнен</w:t>
      </w:r>
      <w:r w:rsidRPr="00322A45">
        <w:rPr>
          <w:rFonts w:ascii="Century Schoolbook" w:hAnsi="Century Schoolbook" w:cs="Century Schoolbook"/>
          <w:color w:val="000000"/>
          <w:lang w:eastAsia="ru-RU"/>
        </w:rPr>
        <w:softHyphen/>
        <w:t>ной правде, проникновению в сложность явлений подлинной действительности, какая она есть, а не какой она может быть представлена, ибо воздействовать на действительность можно, именно видя ее, а не заменяющую ее схему...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322A45">
        <w:rPr>
          <w:rFonts w:ascii="Century Schoolbook" w:hAnsi="Century Schoolbook" w:cs="Century Schoolbook"/>
          <w:color w:val="000000"/>
          <w:lang w:eastAsia="ru-RU"/>
        </w:rPr>
        <w:t>Да, мы держимся линии реализма, правдивого отображения действительности, верности великим заветам русской класси</w:t>
      </w:r>
      <w:r w:rsidRPr="00322A45">
        <w:rPr>
          <w:rFonts w:ascii="Century Schoolbook" w:hAnsi="Century Schoolbook" w:cs="Century Schoolbook"/>
          <w:color w:val="000000"/>
          <w:lang w:eastAsia="ru-RU"/>
        </w:rPr>
        <w:softHyphen/>
        <w:t>ческой литературы, являющей миру непревзойденные образцы реалистического искусства.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322A45">
        <w:rPr>
          <w:rFonts w:ascii="Century Schoolbook" w:hAnsi="Century Schoolbook" w:cs="Century Schoolbook"/>
          <w:color w:val="000000"/>
          <w:lang w:eastAsia="ru-RU"/>
        </w:rPr>
        <w:t>...Мы знаем, что именно своей требовательностью, неприми</w:t>
      </w:r>
      <w:r w:rsidRPr="00322A45">
        <w:rPr>
          <w:rFonts w:ascii="Century Schoolbook" w:hAnsi="Century Schoolbook" w:cs="Century Schoolbook"/>
          <w:color w:val="000000"/>
          <w:lang w:eastAsia="ru-RU"/>
        </w:rPr>
        <w:softHyphen/>
        <w:t xml:space="preserve">римостью к </w:t>
      </w:r>
      <w:proofErr w:type="gramStart"/>
      <w:r w:rsidRPr="00322A45">
        <w:rPr>
          <w:rFonts w:ascii="Century Schoolbook" w:hAnsi="Century Schoolbook" w:cs="Century Schoolbook"/>
          <w:color w:val="000000"/>
          <w:lang w:eastAsia="ru-RU"/>
        </w:rPr>
        <w:t>халтуре</w:t>
      </w:r>
      <w:proofErr w:type="gramEnd"/>
      <w:r w:rsidRPr="00322A45">
        <w:rPr>
          <w:rFonts w:ascii="Century Schoolbook" w:hAnsi="Century Schoolbook" w:cs="Century Schoolbook"/>
          <w:color w:val="000000"/>
          <w:lang w:eastAsia="ru-RU"/>
        </w:rPr>
        <w:t xml:space="preserve"> и пустозвонству мы снискиваем одобрение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322A45">
        <w:rPr>
          <w:rFonts w:ascii="Century Schoolbook" w:hAnsi="Century Schoolbook" w:cs="Century Schoolbook"/>
          <w:color w:val="000000"/>
          <w:lang w:eastAsia="ru-RU"/>
        </w:rPr>
        <w:t>и симпатии читателей нашего журнала... Давайте откровенно говорить. Хорошо, что Анне Ахматовой удалось на закате вы</w:t>
      </w:r>
      <w:r w:rsidRPr="00322A45">
        <w:rPr>
          <w:rFonts w:ascii="Century Schoolbook" w:hAnsi="Century Schoolbook" w:cs="Century Schoolbook"/>
          <w:color w:val="000000"/>
          <w:lang w:eastAsia="ru-RU"/>
        </w:rPr>
        <w:softHyphen/>
        <w:t>слушать добрые слова на Родине и умереть с сознанием, что она русская поэтесса, а тех мы заколотили в гроб, а теперь подбираем листочки, совершенно несложные. А прошло не сто лет, а полтора десятилетия. Это же можно сказать о Пастернаке, и еще что-то на память приходит, тот же Булгаков. Зачем в нашей практике такая печальная цепочка писательских судеб, в отличие от тех писательских судеб, которые принадлежат к 1937 году — явле</w:t>
      </w:r>
      <w:r w:rsidRPr="00322A45">
        <w:rPr>
          <w:rFonts w:ascii="Century Schoolbook" w:hAnsi="Century Schoolbook" w:cs="Century Schoolbook"/>
          <w:color w:val="000000"/>
          <w:lang w:eastAsia="ru-RU"/>
        </w:rPr>
        <w:softHyphen/>
        <w:t xml:space="preserve">нию общему? Почему нужно </w:t>
      </w:r>
      <w:proofErr w:type="gramStart"/>
      <w:r w:rsidRPr="00322A45">
        <w:rPr>
          <w:rFonts w:ascii="Century Schoolbook" w:hAnsi="Century Schoolbook" w:cs="Century Schoolbook"/>
          <w:color w:val="000000"/>
          <w:lang w:eastAsia="ru-RU"/>
        </w:rPr>
        <w:t>сперва</w:t>
      </w:r>
      <w:proofErr w:type="gramEnd"/>
      <w:r w:rsidRPr="00322A45">
        <w:rPr>
          <w:rFonts w:ascii="Century Schoolbook" w:hAnsi="Century Schoolbook" w:cs="Century Schoolbook"/>
          <w:color w:val="000000"/>
          <w:lang w:eastAsia="ru-RU"/>
        </w:rPr>
        <w:t xml:space="preserve"> заколотить в гроб, а потом подбирать листочки?..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322A45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322A45" w:rsidRPr="00322A45" w:rsidRDefault="00322A45" w:rsidP="00322A4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t>На основе данного и предыдущего документов сформулируйте харак</w:t>
      </w:r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softHyphen/>
        <w:t xml:space="preserve">терные черты двух линий в развитии художественного творчества в 60 — 70-е гг. </w:t>
      </w:r>
      <w:r w:rsidRPr="00322A45">
        <w:rPr>
          <w:rFonts w:ascii="Century Schoolbook" w:hAnsi="Century Schoolbook" w:cs="Century Schoolbook"/>
          <w:color w:val="000000"/>
          <w:lang w:eastAsia="ru-RU"/>
        </w:rPr>
        <w:t xml:space="preserve">XX </w:t>
      </w:r>
      <w:proofErr w:type="gramStart"/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t>в</w:t>
      </w:r>
      <w:proofErr w:type="gramEnd"/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t xml:space="preserve">. </w:t>
      </w:r>
      <w:proofErr w:type="gramStart"/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t>В</w:t>
      </w:r>
      <w:proofErr w:type="gramEnd"/>
      <w:r w:rsidRPr="00322A45">
        <w:rPr>
          <w:rFonts w:ascii="Century Schoolbook" w:hAnsi="Century Schoolbook" w:cs="Century Schoolbook"/>
          <w:b/>
          <w:bCs/>
          <w:color w:val="000000"/>
          <w:lang w:eastAsia="ru-RU"/>
        </w:rPr>
        <w:t xml:space="preserve"> чем состояла мотивация обеих сторон?</w:t>
      </w:r>
    </w:p>
    <w:p w:rsidR="004B65F9" w:rsidRDefault="004B65F9" w:rsidP="00322A45"/>
    <w:sectPr w:rsidR="004B65F9" w:rsidSect="004B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A45"/>
    <w:rsid w:val="00322A45"/>
    <w:rsid w:val="004B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2013-05-07T07:33:00Z</dcterms:created>
  <dcterms:modified xsi:type="dcterms:W3CDTF">2013-05-07T07:35:00Z</dcterms:modified>
</cp:coreProperties>
</file>