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E10011" w:rsidRDefault="00E10011">
      <w:pPr>
        <w:rPr>
          <w:sz w:val="16"/>
          <w:szCs w:val="16"/>
        </w:rPr>
      </w:pPr>
      <w:r>
        <w:rPr>
          <w:b/>
          <w:bCs/>
          <w:color w:val="804040"/>
          <w:sz w:val="48"/>
          <w:szCs w:val="48"/>
          <w:shd w:val="clear" w:color="auto" w:fill="FCF4E1"/>
        </w:rPr>
        <w:t>М</w:t>
      </w:r>
      <w:r>
        <w:rPr>
          <w:b/>
          <w:bCs/>
          <w:color w:val="000000"/>
          <w:sz w:val="27"/>
          <w:szCs w:val="27"/>
          <w:shd w:val="clear" w:color="auto" w:fill="FCF4E1"/>
        </w:rPr>
        <w:t>илюков Павел Николаевич - выдающийся историк и политический деятель. Родился 15 января 1859 г. в семье профессора-архитектора; учился в Московской 1 гимназии и Московском университете на филологическом факультете. С 1886 по 1895 г. состоял приват-доцентом Московского университета по кафедре русской истории; читал также лекции на женских педагогических курсах в Москве. Его "Введение в курс русской истории", изданное в литографированном виде слушателями, пользовалось среди молодежи широким распространением и влиянием. В своем общении со студенческими кружками того времени Милюков стремился проводить в умы народнически настроенной молодежи сознание необходимости прежде всего политических преобразований в России. В 1892 г. Милюков получил степень магистра русской истории за исследование: "Государственное хозяйство в России в первой четверти XVIII столетия и реформа Петра Великого". Вслед затем вышла другая значительная работа Милюкова: "Спорные вопросы в финансовой истории Московского государства", написанная им по поручению Императорской Академии Наук, как рецензия на книгу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CF4E1"/>
        </w:rPr>
        <w:t> </w:t>
      </w:r>
      <w:hyperlink r:id="rId4" w:history="1">
        <w:r>
          <w:rPr>
            <w:rStyle w:val="a3"/>
            <w:b/>
            <w:bCs/>
            <w:sz w:val="27"/>
            <w:szCs w:val="27"/>
            <w:shd w:val="clear" w:color="auto" w:fill="FCF4E1"/>
          </w:rPr>
          <w:t>А.С. Лаппо-Данилевского</w:t>
        </w:r>
      </w:hyperlink>
      <w:r>
        <w:rPr>
          <w:rStyle w:val="apple-converted-space"/>
          <w:b/>
          <w:bCs/>
          <w:color w:val="000000"/>
          <w:sz w:val="27"/>
          <w:szCs w:val="27"/>
          <w:shd w:val="clear" w:color="auto" w:fill="FCF4E1"/>
        </w:rPr>
        <w:t> </w:t>
      </w:r>
      <w:r>
        <w:rPr>
          <w:b/>
          <w:bCs/>
          <w:color w:val="000000"/>
          <w:sz w:val="27"/>
          <w:szCs w:val="27"/>
          <w:shd w:val="clear" w:color="auto" w:fill="FCF4E1"/>
        </w:rPr>
        <w:t xml:space="preserve">: "Организация прямого обложения в Московском государстве". С 1893 г. много работал в "Московской комиссии по организации домашнего чтения" и был первым ее председателем. В 1895 г. вынужден был прекратить свою преподавательскую деятельность и был выслан из Москвы в административном порядке. Переехав в Рязань, Милюков принял деятельное участие в работах местной архивной комиссии; по его инициативе организованы были впервые в Рязанской губернии систематические археологические раскопки; был депутатом рязанской архивной комиссии на Х археологическом съезде. Весной 1897 г. Милюков занял кафедру всеобщей истории в Софии; читал в течение года лекции по обзору философско-исторических систем, по римской истории и по раннему периоду истории России и Чехии. По требованию русского правительства, основанному на непроверенных обвинениях, вынужден был прекратить лекции. В 1898 г. совершил поездку по Македонии с научными целями и возвращался туда еще два раза, в качестве члена экспедиции, снаряженной русским археологическим институтом в Константинополе и Императорской Академией Наук. В 1899 г. участвовал короткое время в редактировании "Мира Божия", где помещал тогда свои "Очерки по истории русской культуры", и в редактировании "Большой Энциклопедии". В начале 1901 г. Милюков был арестован по обвинению в председательствовании на одной студенческой вечеринке и около 4 месяцев провел в доме предварительного </w:t>
      </w:r>
      <w:r>
        <w:rPr>
          <w:b/>
          <w:bCs/>
          <w:color w:val="000000"/>
          <w:sz w:val="27"/>
          <w:szCs w:val="27"/>
          <w:shd w:val="clear" w:color="auto" w:fill="FCF4E1"/>
        </w:rPr>
        <w:lastRenderedPageBreak/>
        <w:t>заключения, после чего приговорен был особым совещанием при министре внутренних дел к 6 месячному тюремному заключению, но освобожден до истечения этого срока. В тюрьме он закончил свои "Очерки по истории русской культуры". Большую часть 1902 - 1904 годов Милюков провел за границей: путешествовал по славянским землям, дважды посетил Северо-Американские Соединенные Штаты, где читал лекции о России и о южных славянах. В результате в 1906 г. появилась на английском языке его книга "The Russia and its krisis", переведенная и на французский язык. Участвовал в организации "Союза Освобождения" и в его съездах за границей и в России; деятельно сотрудничал в журнале "Освобождение", издававшемся за границей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CF4E1"/>
        </w:rPr>
        <w:t> </w:t>
      </w:r>
      <w:hyperlink r:id="rId5" w:history="1">
        <w:r>
          <w:rPr>
            <w:rStyle w:val="a3"/>
            <w:b/>
            <w:bCs/>
            <w:sz w:val="27"/>
            <w:szCs w:val="27"/>
            <w:shd w:val="clear" w:color="auto" w:fill="FCF4E1"/>
          </w:rPr>
          <w:t>П.Б. Струве</w:t>
        </w:r>
      </w:hyperlink>
      <w:r>
        <w:rPr>
          <w:rStyle w:val="apple-converted-space"/>
          <w:b/>
          <w:bCs/>
          <w:color w:val="000000"/>
          <w:sz w:val="27"/>
          <w:szCs w:val="27"/>
          <w:shd w:val="clear" w:color="auto" w:fill="FCF4E1"/>
        </w:rPr>
        <w:t> </w:t>
      </w:r>
      <w:r>
        <w:rPr>
          <w:b/>
          <w:bCs/>
          <w:noProof/>
          <w:color w:val="0000FF"/>
          <w:sz w:val="27"/>
          <w:szCs w:val="27"/>
          <w:shd w:val="clear" w:color="auto" w:fill="FCF4E1"/>
          <w:lang w:eastAsia="ru-RU"/>
        </w:rPr>
        <w:drawing>
          <wp:inline distT="0" distB="0" distL="0" distR="0">
            <wp:extent cx="95250" cy="152400"/>
            <wp:effectExtent l="19050" t="0" r="0" b="0"/>
            <wp:docPr id="1" name="Рисунок 1" descr="http://www.rulex.ru/graph/port_l.gi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lex.ru/graph/port_l.gi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7"/>
          <w:szCs w:val="27"/>
          <w:shd w:val="clear" w:color="auto" w:fill="FCF4E1"/>
        </w:rPr>
        <w:t xml:space="preserve">. В "Освобождении" Милюкову принадлежит ряд важных руководящих статей по вопросам русской политической жизни. Весной 1905 г. Милюков вернулся в Россию и принял участие в освободительном движении как один из организаторов и руководителей "Союза союзов" в первую пору его существования, как участник и член бюро земских и городских съездов и как один из учредителей конституционно-демократической партии, к обеим составным частям которой ("Союзу освобождения" и "Союзу земцев-конституционалистов") он принадлежал и ранее. 7 августа 1905 г. Милюков был снова арестован во время заседания центрального бюро Союза союзов, но после месячного заключения освобожден без предъявления обвинения. В декабре 1905 г. Милюков, редактируя газеты "Свободный народ" и "Народная свобода", закрытые постановлениями судебной палаты - первая на 2-м, а вторая на 5-м номере, был привлечен к судебной ответственности по 1 и 3 пунктам 129 статьи уголовного уложения, что и послужило основанием к устранению его от участия в выборах в первую Государственную думу. Это не помешало ему сделаться одним из главных руководителей конституционно-демократической партии. Для третьего ее съезда он составил доклад, принципы которого легли в основу тактики партии в первой Думе. С этих пор, в качестве составителя тактических докладов на всех последующих съездах и конференциях конституционно-демократической партии Милюков является признанным ее лидером. Когда, в период первой Думы, возникло предположение ввести представителей конституционно-демократической партии в состав правительства, Милюков решительно заявил, что это возможно лишь в случае образования однородного парламентского министерства. От участия в выборах во вторую думу Милюков вновь был устранен, в виду признания недостаточным его ценза; но он сделался тогда председателем центрального комитета конституционно-демократической </w:t>
      </w:r>
      <w:r>
        <w:rPr>
          <w:b/>
          <w:bCs/>
          <w:color w:val="000000"/>
          <w:sz w:val="27"/>
          <w:szCs w:val="27"/>
          <w:shd w:val="clear" w:color="auto" w:fill="FCF4E1"/>
        </w:rPr>
        <w:lastRenderedPageBreak/>
        <w:t xml:space="preserve">партии и продолжал быть главным руководителем ее органа, газеты "Речь". Членом третьей Государственной думы Милюков выбран был от города Петербурга (по 2-й курии). В начале ее заседаний он подвергся яростным нападкам со стороны правых, отчасти поддержанных октябристами; но, несмотря на малочисленность фракции народной свободы в III Думе, ему удалось занять видное положение в рядах оппозиции. С этих пор биография Милюкова почти совершенно сливается с историей партии. В третьей Думе правые пытались создать большинство или, по крайней мере, сильное течение, на которое могла бы опираться внедумская антиконституционная реакция. В борьбе за права Думы и за неприкосновенность конституционного строя Милюков играл в III Думе выдающуюся роль. Несмотря на некорректные приемы обструкции, пускавшиеся в ход его противниками во время его думских выступлений, он добился уже в конце 1-й сессии III Думы, что речи его стали выслушиваться со вниманием, в особенности, когда он стал касаться непривычных в молодом русском парламенте тем внешней политики, проявляя при этом широкую осведомленность и тонкую критическую способность. Большое впечатление производили и его речи по вопросам финляндскому, аграрному, национальным, вероисповедным, конституционным. Каждое его выступление являлось научно разработанным и всесторонне обставленным историческими и статистическими данными. На конференциях конституционно-демократической партии образ действий Милюкова часто подвергался откровенной, иногда довольно резкой критике, но основные положения представляемых им докладов всегда утверждались, если не единогласно, то огромным большинством голосов. В "Речи" ему принадлежит много передовых статей и политических фельетонов, а в последние годы - и "обзор печати". В перерывах думской работы Милюков разъезжал по России и читал лекции во многих городах, иногда совершал и заграничные поездки, связанные с очередными политическими задачами. Он был одним из деятельных участников междупарламентского союза, стремясь в особенности к сближению Англии и Америки с Россией. После последней балканской войны он был избран в международную комиссию Карнеги для исследования тех "барбаризмов" и нарушений обычаев войны, в которых обвиняли друг друга участвовавшие в этой войне балканские державы. На выборах 1912 года Милюков был вновь выбран огромным числом голосов от Петербурга и по 2-й курии и продолжал в четвертой думе ту же политику и ту же работу, которую он вел в III Думе. С момента объявления войны России Германией Милюков сделался одним из организаторов русского национального движения. Будучи убежденным пацифистом и участником </w:t>
      </w:r>
      <w:r>
        <w:rPr>
          <w:b/>
          <w:bCs/>
          <w:color w:val="000000"/>
          <w:sz w:val="27"/>
          <w:szCs w:val="27"/>
          <w:shd w:val="clear" w:color="auto" w:fill="FCF4E1"/>
        </w:rPr>
        <w:lastRenderedPageBreak/>
        <w:t xml:space="preserve">международного союза пацифистов, Милюков признал, однако, что с точки зрения жизненных интересов России и всего человечества необходима организация победы над поработительными стремлениями Германии. Дело держав тройственного согласия с самого же начала представлялось Милюкову делом справедливым и праведным. В ряде статей и популярных лекций Милюков доказывал необходимость, на время войны, внутреннего объединения, прекращения внутренней партийной борьбы. Он полагал, что победа, достигнутая соединенными усилиями армии и страны, сделает невозможными происки реакционных групп, интересы которых не имеют ничего общего ни с интересами страны, ни с интересами армии. Участие его в событиях, вызванных войной, запечатлено и личными жертвами: оба сына его - один по призыву, другой добровольно - приняли непосредственное участие в военных действиях, и младший из них, 20-летний юноша, подававший большие надежды в будущем, пал на поле сражения при отступлении русской армии из Галиции. - Перу Милюкова, кроме названных ранее исторических работ его, принадлежит следующие исторические и публицистические сочинения: "Официальная и частная редакции древнейшей разрядной книги" (Москва, 1887); ряд рецензий о различных исторических сочинениях в "Русской мысли" за 1886 - 1890 годы; Обзоры русской литературы и науки за 1888 - 1893 годы в английском журнале "Atheneum"; "VIII археологический съезд в Москве" ("Русская Мысль", 1890, № 4, и отдельно, Москва, 1890); "Русская аграрная политика прошлого (XVIII) столетия" (ib., 1890, № 5); "Сергей Тимофеевич Аксаков" (ib., 1891, № 9); "Попытка государственной реформы при воцарении императрицы Анны Иоанновны" ("Сборник в пользу воскресных школ", Москва, 1893); "Разложение славянофильства" ("Вопросы философии и психологии", 1893, и отд.); "Любовь у идеалистов тридцатых годов" ("Русские Ведомости", 1900); "Надеждин и первые статьи Белинского" (в сборнике "На славном посту", Санкт-Петербург, 1898); последние 5 статей изданы в сборнике статей Милюкова: "Из истории русской интеллигенции" (2 издания); "Главные течения русской исторической мысли" ("Русская Мысль" за 1893 - 1895 годы и отдельно 2 издания); "Главные течения русской исторической мысли" ("Русская Мысль" за 1893 - 1895 годы и отдельно 2 издания); "Очерки по истории русской культуры" ("Мир Божий" за 1895 - 1896 годы и отдельно, в 3-х частях; много изданий на русском языке, перевод на немецкий, французский и чешский языки); в 86-томном "Энциклопедическом словаре" Брокгауза - Ефрона статья "Крестьяне" (самостоятельная монография); "Христианские древности западной Македонии" (в "Трудах русского </w:t>
      </w:r>
      <w:r>
        <w:rPr>
          <w:b/>
          <w:bCs/>
          <w:color w:val="000000"/>
          <w:sz w:val="27"/>
          <w:szCs w:val="27"/>
          <w:shd w:val="clear" w:color="auto" w:fill="FCF4E1"/>
        </w:rPr>
        <w:lastRenderedPageBreak/>
        <w:t>археологического института в Константинополе"); "Отчет о раскопке могильника Гальштаттской эпохи в Натали в Македонии"; "Македония и европейские державы" ("Вестник Европы", 1898, № 5); "Сербо-болгарские отношения по македонскому вопросу" (сборник "Русское Богатство", 1898); "Средневековый уголок Европы" и "Болгарская конституция" (в сборнике "Государственный строй европейских держав"); "Russia and its krisis" (Л., 1905); "La crise Russe" (П., 1907); "The liberak movement in Russia" ("Atlantic Monthly", 1905); "О свободе печати" (в сборнике "В защиту слова"); "Демократизм и вторая палата" ("Русское Богатство", 1905, и отдельно); "Исконные начала и требования жизни в русском государственной строе" (Ростов-Дон, 1905); ряд политических статей на разные темы в "Праве", "Сыне Отечества", "Русских Ведомостях", "Вестнике партии Народной Свободы", "Temps", "Morning Post" и "Речи"; некоторые из них вошли в состав сборников: "Год борьбы" (Санкт-Петербург, 1907) и "Вторая дума"; "The case of the Second Duma" ("Contemp. Review", октябрь 1907); "Constitutional Government for Russia" (лекция, читанная в Нью-Йорке в 1908 г.); "Интеллигенция и историческая традиция", в сборнике "Интеллигенция в России" (Санкт-Петербург, 1910); "Балканский кризис и политика Извольского" (Санкт-Петербург, 1910); "Вооруженный мир и ограничения вооружений" (Санкт-Петербург, 1911); "Enquete dens les Balkans" ("Dotation Carnegie pour la paix internationale", П., 1914, главы I, III, IV и V). Статьи о войне 1914 - 1915 годов в сборниках: "Чего ждет Россия от войны?" и "Вопросы мировой войны" (Петроград, 1915); "Польский Пьемонт" в сборнике "Война и Польша" (Москва, 1915); статьи о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CF4E1"/>
        </w:rPr>
        <w:t> </w:t>
      </w:r>
      <w:hyperlink r:id="rId8" w:history="1">
        <w:r>
          <w:rPr>
            <w:rStyle w:val="a3"/>
            <w:b/>
            <w:bCs/>
            <w:sz w:val="27"/>
            <w:szCs w:val="27"/>
            <w:shd w:val="clear" w:color="auto" w:fill="FCF4E1"/>
          </w:rPr>
          <w:t>Муромцеве</w:t>
        </w:r>
      </w:hyperlink>
      <w:r>
        <w:rPr>
          <w:rStyle w:val="apple-converted-space"/>
          <w:b/>
          <w:bCs/>
          <w:color w:val="000000"/>
          <w:sz w:val="27"/>
          <w:szCs w:val="27"/>
          <w:shd w:val="clear" w:color="auto" w:fill="FCF4E1"/>
        </w:rPr>
        <w:t> </w:t>
      </w:r>
      <w:r>
        <w:rPr>
          <w:b/>
          <w:bCs/>
          <w:noProof/>
          <w:color w:val="0000FF"/>
          <w:sz w:val="27"/>
          <w:szCs w:val="27"/>
          <w:shd w:val="clear" w:color="auto" w:fill="FCF4E1"/>
          <w:lang w:eastAsia="ru-RU"/>
        </w:rPr>
        <w:drawing>
          <wp:inline distT="0" distB="0" distL="0" distR="0">
            <wp:extent cx="123825" cy="161925"/>
            <wp:effectExtent l="19050" t="0" r="9525" b="0"/>
            <wp:docPr id="2" name="Рисунок 2" descr="http://www.rulex.ru/graph/sound_l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lex.ru/graph/sound_l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7"/>
          <w:szCs w:val="27"/>
          <w:shd w:val="clear" w:color="auto" w:fill="FCF4E1"/>
        </w:rPr>
        <w:t>,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CF4E1"/>
        </w:rPr>
        <w:t> </w:t>
      </w:r>
      <w:hyperlink r:id="rId11" w:history="1">
        <w:r>
          <w:rPr>
            <w:rStyle w:val="a3"/>
            <w:b/>
            <w:bCs/>
            <w:sz w:val="27"/>
            <w:szCs w:val="27"/>
            <w:shd w:val="clear" w:color="auto" w:fill="FCF4E1"/>
          </w:rPr>
          <w:t>Ключевском</w:t>
        </w:r>
      </w:hyperlink>
      <w:r>
        <w:rPr>
          <w:rStyle w:val="apple-converted-space"/>
          <w:b/>
          <w:bCs/>
          <w:color w:val="000000"/>
          <w:sz w:val="27"/>
          <w:szCs w:val="27"/>
          <w:shd w:val="clear" w:color="auto" w:fill="FCF4E1"/>
        </w:rPr>
        <w:t> </w:t>
      </w:r>
      <w:r>
        <w:rPr>
          <w:b/>
          <w:bCs/>
          <w:noProof/>
          <w:color w:val="0000FF"/>
          <w:sz w:val="27"/>
          <w:szCs w:val="27"/>
          <w:shd w:val="clear" w:color="auto" w:fill="FCF4E1"/>
          <w:lang w:eastAsia="ru-RU"/>
        </w:rPr>
        <w:drawing>
          <wp:inline distT="0" distB="0" distL="0" distR="0">
            <wp:extent cx="95250" cy="152400"/>
            <wp:effectExtent l="19050" t="0" r="0" b="0"/>
            <wp:docPr id="3" name="Рисунок 3" descr="http://www.rulex.ru/graph/port_l.gif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ulex.ru/graph/port_l.gif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CF4E1"/>
        </w:rPr>
        <w:t> </w:t>
      </w:r>
      <w:r>
        <w:rPr>
          <w:b/>
          <w:bCs/>
          <w:color w:val="000000"/>
          <w:sz w:val="27"/>
          <w:szCs w:val="27"/>
          <w:shd w:val="clear" w:color="auto" w:fill="FCF4E1"/>
        </w:rPr>
        <w:t>и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CF4E1"/>
        </w:rPr>
        <w:t> </w:t>
      </w:r>
      <w:hyperlink r:id="rId13" w:history="1">
        <w:r>
          <w:rPr>
            <w:rStyle w:val="a3"/>
            <w:b/>
            <w:bCs/>
            <w:sz w:val="27"/>
            <w:szCs w:val="27"/>
            <w:shd w:val="clear" w:color="auto" w:fill="FCF4E1"/>
          </w:rPr>
          <w:t>Колюбакине</w:t>
        </w:r>
      </w:hyperlink>
      <w:r>
        <w:rPr>
          <w:rStyle w:val="apple-converted-space"/>
          <w:b/>
          <w:bCs/>
          <w:color w:val="000000"/>
          <w:sz w:val="27"/>
          <w:szCs w:val="27"/>
          <w:shd w:val="clear" w:color="auto" w:fill="FCF4E1"/>
        </w:rPr>
        <w:t> </w:t>
      </w:r>
      <w:r>
        <w:rPr>
          <w:b/>
          <w:bCs/>
          <w:color w:val="000000"/>
          <w:sz w:val="27"/>
          <w:szCs w:val="27"/>
          <w:shd w:val="clear" w:color="auto" w:fill="FCF4E1"/>
        </w:rPr>
        <w:t>в сборниках, посвященных их памяти. Думские речи Милюкова напечатанные в отчетах конституционно-демократической фракции III и IV Государственных дум (7 выпусков и указатель к ним), составленные и редактированные им доклады - в "Протоколах III съезда партии Народной Свободы" (Санкт-Петербург, 1906) и в "Вестнике партии Народной Свободы" за 1906 и 1907 годы. Данные о политической деятельности Милюкова в статье князя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CF4E1"/>
        </w:rPr>
        <w:t> </w:t>
      </w:r>
      <w:hyperlink r:id="rId14" w:history="1">
        <w:r>
          <w:rPr>
            <w:rStyle w:val="a3"/>
            <w:b/>
            <w:bCs/>
            <w:sz w:val="27"/>
            <w:szCs w:val="27"/>
            <w:shd w:val="clear" w:color="auto" w:fill="FCF4E1"/>
          </w:rPr>
          <w:t>Д.И. Шаховского</w:t>
        </w:r>
      </w:hyperlink>
      <w:r>
        <w:rPr>
          <w:rStyle w:val="apple-converted-space"/>
          <w:b/>
          <w:bCs/>
          <w:color w:val="000000"/>
          <w:sz w:val="27"/>
          <w:szCs w:val="27"/>
          <w:shd w:val="clear" w:color="auto" w:fill="FCF4E1"/>
        </w:rPr>
        <w:t> </w:t>
      </w:r>
      <w:r>
        <w:rPr>
          <w:b/>
          <w:bCs/>
          <w:noProof/>
          <w:color w:val="0000FF"/>
          <w:sz w:val="27"/>
          <w:szCs w:val="27"/>
          <w:shd w:val="clear" w:color="auto" w:fill="FCF4E1"/>
          <w:lang w:eastAsia="ru-RU"/>
        </w:rPr>
        <w:drawing>
          <wp:inline distT="0" distB="0" distL="0" distR="0">
            <wp:extent cx="95250" cy="152400"/>
            <wp:effectExtent l="19050" t="0" r="0" b="0"/>
            <wp:docPr id="4" name="Рисунок 4" descr="http://www.rulex.ru/graph/port_l.gif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ulex.ru/graph/port_l.gif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CF4E1"/>
        </w:rPr>
        <w:t> </w:t>
      </w:r>
      <w:r>
        <w:rPr>
          <w:b/>
          <w:bCs/>
          <w:color w:val="000000"/>
          <w:sz w:val="27"/>
          <w:szCs w:val="27"/>
          <w:shd w:val="clear" w:color="auto" w:fill="FCF4E1"/>
        </w:rPr>
        <w:t>"Союз Освобождения", в сборнике "Зарницы" (№ 2, Санкт-Петербург, 1909), в "Отчете центрального комитета конституционно-демократической партии за два года, с 18 октября 1905 г. по октябрь 1907 г.", и в книге: "Третья Государственная дума. Материалы для оценки ее деятельности" (Санкт-Петербург, 1913). А. К.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CF4E1"/>
        </w:rPr>
        <w:t> </w:t>
      </w:r>
    </w:p>
    <w:sectPr w:rsidR="003339BD" w:rsidRPr="00E10011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0011"/>
    <w:rsid w:val="003339BD"/>
    <w:rsid w:val="00534000"/>
    <w:rsid w:val="006E5B43"/>
    <w:rsid w:val="008A3F17"/>
    <w:rsid w:val="0099730B"/>
    <w:rsid w:val="00B25EF2"/>
    <w:rsid w:val="00E10011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0011"/>
  </w:style>
  <w:style w:type="character" w:styleId="a3">
    <w:name w:val="Hyperlink"/>
    <w:basedOn w:val="a0"/>
    <w:uiPriority w:val="99"/>
    <w:semiHidden/>
    <w:unhideWhenUsed/>
    <w:rsid w:val="00E100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lex.ru/01130583.htm" TargetMode="External"/><Relationship Id="rId13" Type="http://schemas.openxmlformats.org/officeDocument/2006/relationships/hyperlink" Target="http://www.rulex.ru/01110153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://www.rulex.ru/portret/31-047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ulex.ru/portret/55-048.htm" TargetMode="External"/><Relationship Id="rId11" Type="http://schemas.openxmlformats.org/officeDocument/2006/relationships/hyperlink" Target="http://www.rulex.ru/01111332.htm" TargetMode="External"/><Relationship Id="rId5" Type="http://schemas.openxmlformats.org/officeDocument/2006/relationships/hyperlink" Target="http://www.rulex.ru/01180594.htm" TargetMode="External"/><Relationship Id="rId15" Type="http://schemas.openxmlformats.org/officeDocument/2006/relationships/hyperlink" Target="http://www.rulex.ru/portret/61-042.htm" TargetMode="External"/><Relationship Id="rId10" Type="http://schemas.openxmlformats.org/officeDocument/2006/relationships/image" Target="media/image2.gif"/><Relationship Id="rId4" Type="http://schemas.openxmlformats.org/officeDocument/2006/relationships/hyperlink" Target="http://www.rulex.ru/01120098.htm" TargetMode="External"/><Relationship Id="rId9" Type="http://schemas.openxmlformats.org/officeDocument/2006/relationships/hyperlink" Target="http://www.rulex.ru/sound/502.mp3" TargetMode="External"/><Relationship Id="rId14" Type="http://schemas.openxmlformats.org/officeDocument/2006/relationships/hyperlink" Target="http://www.rulex.ru/0125033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1951</Words>
  <Characters>11127</Characters>
  <Application>Microsoft Office Word</Application>
  <DocSecurity>0</DocSecurity>
  <Lines>92</Lines>
  <Paragraphs>26</Paragraphs>
  <ScaleCrop>false</ScaleCrop>
  <Company/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2013-03-21T06:21:00Z</dcterms:created>
  <dcterms:modified xsi:type="dcterms:W3CDTF">2013-03-21T06:21:00Z</dcterms:modified>
</cp:coreProperties>
</file>